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09FEC8">
      <w:pPr>
        <w:spacing w:after="0" w:line="240" w:lineRule="atLeast"/>
        <w:jc w:val="center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ОТЧЕТ О ХОДЕ РЕАЛИЗАЦИИ МУНИЦИПАЛЬНОЙ ПРОГРАММЫ И ОБ ОЦЕНКЕ ЭФФЕКТИВНОСТИ РЕАЛИЗАЦИИ НА ТЕРРИТОРИИ СЕЛЬСКОГО ПОСЕЛЕНИЯ СУМОН</w:t>
      </w:r>
      <w:r>
        <w:rPr>
          <w:rFonts w:hint="default"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БОРА-ТАЙГА СУТ-ХОЛЬСКОГО КОЖУУНА РТ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ЗА 202</w:t>
      </w:r>
      <w:r>
        <w:rPr>
          <w:rFonts w:hint="default"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г</w:t>
      </w:r>
      <w:r>
        <w:rPr>
          <w:rFonts w:hint="default"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.</w:t>
      </w:r>
    </w:p>
    <w:p w14:paraId="3174B597">
      <w:pPr>
        <w:spacing w:before="195" w:after="0" w:line="240" w:lineRule="atLeast"/>
        <w:jc w:val="center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1. ОБЩИЕ СВЕДЕНИЯ</w:t>
      </w:r>
    </w:p>
    <w:p w14:paraId="5C706605">
      <w:pPr>
        <w:spacing w:before="195" w:after="0" w:line="240" w:lineRule="atLeast"/>
        <w:ind w:firstLine="567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Оценка эффективности реализации муниципальных программ за 202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год проведена в соответствии с требованиями к оценке эффективности реализации муниципальных программ,  их формирования, реализации и проведения   оценки эффективности реализации муниципальных программ  (далее – Порядок).</w:t>
      </w:r>
    </w:p>
    <w:p w14:paraId="543A8F31">
      <w:pPr>
        <w:spacing w:before="195" w:after="0" w:line="240" w:lineRule="atLeast"/>
        <w:ind w:firstLine="567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В 202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году на территории сельского поселения сумон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Бора-Тайга Сут-Хольского кожууна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реализовывались следующая муниципальная программа:</w:t>
      </w:r>
    </w:p>
    <w:p w14:paraId="2A76F3F8">
      <w:pPr>
        <w:ind w:firstLine="708" w:firstLineChars="0"/>
        <w:jc w:val="both"/>
        <w:rPr>
          <w:rFonts w:hint="default" w:ascii="Times New Roman" w:hAnsi="Times New Roman" w:eastAsia="Times New Roman" w:cs="Times New Roman"/>
          <w:b w:val="0"/>
          <w:bCs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1. Муниципальная программа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«Профилактика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правонарушений в сельском  поселении сумон Бора-Тайгинский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Сут-Хольского кожууна РТ </w:t>
      </w:r>
      <w:r>
        <w:rPr>
          <w:rFonts w:ascii="Times New Roman" w:hAnsi="Times New Roman" w:eastAsia="Times New Roman" w:cs="Times New Roman"/>
          <w:b w:val="0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на 20</w:t>
      </w:r>
      <w:r>
        <w:rPr>
          <w:rFonts w:hint="default" w:ascii="Times New Roman" w:hAnsi="Times New Roman" w:eastAsia="Times New Roman" w:cs="Times New Roman"/>
          <w:b w:val="0"/>
          <w:bCs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22</w:t>
      </w:r>
      <w:r>
        <w:rPr>
          <w:rFonts w:ascii="Times New Roman" w:hAnsi="Times New Roman" w:eastAsia="Times New Roman" w:cs="Times New Roman"/>
          <w:b w:val="0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-2024</w:t>
      </w:r>
      <w:r>
        <w:rPr>
          <w:rFonts w:hint="default" w:ascii="Times New Roman" w:hAnsi="Times New Roman" w:eastAsia="Times New Roman" w:cs="Times New Roman"/>
          <w:b w:val="0"/>
          <w:bCs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b w:val="0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годы</w:t>
      </w:r>
      <w:r>
        <w:rPr>
          <w:rFonts w:hint="default" w:ascii="Times New Roman" w:hAnsi="Times New Roman" w:eastAsia="Times New Roman" w:cs="Times New Roman"/>
          <w:b w:val="0"/>
          <w:bCs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»</w:t>
      </w:r>
      <w:r>
        <w:rPr>
          <w:rFonts w:ascii="Times New Roman" w:hAnsi="Times New Roman" w:eastAsia="Times New Roman" w:cs="Times New Roman"/>
          <w:b w:val="0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.</w:t>
      </w:r>
    </w:p>
    <w:p w14:paraId="15F64D00">
      <w:pPr>
        <w:spacing w:before="195" w:after="195" w:line="240" w:lineRule="auto"/>
        <w:jc w:val="center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u w:val="single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u w:val="single"/>
          <w:lang w:eastAsia="ru-RU"/>
          <w14:textFill>
            <w14:solidFill>
              <w14:schemeClr w14:val="tx1"/>
            </w14:solidFill>
          </w14:textFill>
        </w:rPr>
        <w:t>Финансирование программ</w:t>
      </w:r>
    </w:p>
    <w:p w14:paraId="013B08AA">
      <w:pPr>
        <w:spacing w:before="195" w:after="195" w:line="240" w:lineRule="auto"/>
        <w:ind w:firstLine="567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Бюджетные ассигнования в 202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году были предусмотрены на реализацию 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муниципальной программы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утвержденный.</w:t>
      </w:r>
    </w:p>
    <w:p w14:paraId="622CC5F3">
      <w:pPr>
        <w:spacing w:before="195" w:after="0" w:line="240" w:lineRule="atLeast"/>
        <w:ind w:firstLine="567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Фактически в 202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году из средств бюджета сельского поселения профинансировано 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муниципальных программы на сумму 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1,0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тыс. рублей.</w:t>
      </w:r>
    </w:p>
    <w:p w14:paraId="49F40F9A">
      <w:pPr>
        <w:spacing w:before="195" w:after="195" w:line="240" w:lineRule="auto"/>
        <w:jc w:val="center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u w:val="single"/>
          <w:lang w:eastAsia="ru-RU"/>
          <w14:textFill>
            <w14:solidFill>
              <w14:schemeClr w14:val="tx1"/>
            </w14:solidFill>
          </w14:textFill>
        </w:rPr>
        <w:t>Оценка эффективности программ</w:t>
      </w:r>
    </w:p>
    <w:p w14:paraId="21BA9360">
      <w:pPr>
        <w:spacing w:before="195" w:after="0" w:line="240" w:lineRule="atLeast"/>
        <w:ind w:firstLine="567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В настоящем отчете приведены обобщенные данные по результатам анализа оценки эффективности, проведенной исполнителями муниципальных программ.</w:t>
      </w:r>
    </w:p>
    <w:p w14:paraId="2BA36A25">
      <w:pPr>
        <w:spacing w:before="195" w:after="195" w:line="240" w:lineRule="auto"/>
        <w:ind w:firstLine="567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Порядком определены 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 категории муниципальных программ с точки зрения эффективности их реализации:</w:t>
      </w:r>
    </w:p>
    <w:p w14:paraId="6082A5D8">
      <w:pPr>
        <w:spacing w:before="195" w:after="0" w:line="240" w:lineRule="atLeast"/>
        <w:ind w:firstLine="539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эффективность реализации муниципальной программы признается с высоким уровнем эффективности если комплексная оценка составляет 95 процентов и более процентов;</w:t>
      </w:r>
    </w:p>
    <w:p w14:paraId="11A7F7F2">
      <w:pPr>
        <w:spacing w:before="195" w:after="0" w:line="240" w:lineRule="atLeast"/>
        <w:ind w:firstLine="539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эффективность реализации муниципальной программы считается реализуемой с удовлетворительным уровнем эффективности, если комплексная оценка находится в интервале от 80%до 95%;</w:t>
      </w:r>
    </w:p>
    <w:p w14:paraId="078E9871">
      <w:pPr>
        <w:spacing w:before="195" w:after="0" w:line="240" w:lineRule="atLeast"/>
        <w:ind w:firstLine="539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если реализации муниципальной программы не отвечает приведенным выше диапазонам значений, уровень эффективности ее реализации признается неудовлетворительной;</w:t>
      </w:r>
    </w:p>
    <w:p w14:paraId="58D80949">
      <w:pPr>
        <w:spacing w:before="195" w:after="195" w:line="240" w:lineRule="auto"/>
        <w:ind w:firstLine="567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В целом по итогам отчетного периода эффективность реализации        программ признана высокой  100% от общего количества.</w:t>
      </w:r>
    </w:p>
    <w:p w14:paraId="68F7F236">
      <w:pPr>
        <w:spacing w:before="195" w:after="0" w:line="240" w:lineRule="atLeast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2. ИНФОРМАЦИЯ О ХОДЕ РЕАЛИЗАЦИИ МУНИЦИПАЛЬНЫХ ПРОГРАММ В 202</w:t>
      </w:r>
      <w:r>
        <w:rPr>
          <w:rFonts w:hint="default"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ГОДУ</w:t>
      </w:r>
    </w:p>
    <w:p w14:paraId="3FB0A3F9">
      <w:pPr>
        <w:spacing w:before="195" w:after="0" w:line="240" w:lineRule="atLeast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2.1 Муниципальная программа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«Профилактика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правонарушений в сельском  поселении сумон Бора-Тайгинский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Сут-Хольского кожууна РТ </w:t>
      </w:r>
      <w:r>
        <w:rPr>
          <w:rFonts w:ascii="Times New Roman" w:hAnsi="Times New Roman" w:eastAsia="Times New Roman" w:cs="Times New Roman"/>
          <w:b w:val="0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на 20</w:t>
      </w:r>
      <w:r>
        <w:rPr>
          <w:rFonts w:hint="default" w:ascii="Times New Roman" w:hAnsi="Times New Roman" w:eastAsia="Times New Roman" w:cs="Times New Roman"/>
          <w:b w:val="0"/>
          <w:bCs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22</w:t>
      </w:r>
      <w:r>
        <w:rPr>
          <w:rFonts w:ascii="Times New Roman" w:hAnsi="Times New Roman" w:eastAsia="Times New Roman" w:cs="Times New Roman"/>
          <w:b w:val="0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-2024</w:t>
      </w:r>
      <w:r>
        <w:rPr>
          <w:rFonts w:hint="default" w:ascii="Times New Roman" w:hAnsi="Times New Roman" w:eastAsia="Times New Roman" w:cs="Times New Roman"/>
          <w:b w:val="0"/>
          <w:bCs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b w:val="0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годы</w:t>
      </w:r>
      <w:r>
        <w:rPr>
          <w:rFonts w:hint="default" w:ascii="Times New Roman" w:hAnsi="Times New Roman" w:eastAsia="Times New Roman" w:cs="Times New Roman"/>
          <w:b w:val="0"/>
          <w:bCs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»</w:t>
      </w:r>
      <w:r>
        <w:rPr>
          <w:rFonts w:ascii="Times New Roman" w:hAnsi="Times New Roman" w:eastAsia="Times New Roman" w:cs="Times New Roman"/>
          <w:b w:val="0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</w:p>
    <w:p w14:paraId="796D4AAE">
      <w:pPr>
        <w:spacing w:before="195" w:after="0" w:line="240" w:lineRule="atLeast"/>
        <w:ind w:firstLine="567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  <w14:textFill>
            <w14:solidFill>
              <w14:schemeClr w14:val="tx1"/>
            </w14:solidFill>
          </w14:textFill>
        </w:rPr>
        <w:t>Утверждена: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 постановлением администрации (исполнительно-распорядительным органом) сельского поселения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сумон Бора-Тайга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 от 30.03.2018года №19.</w:t>
      </w:r>
    </w:p>
    <w:p w14:paraId="2275DC5E">
      <w:pPr>
        <w:spacing w:before="195" w:after="0" w:line="240" w:lineRule="atLeast"/>
        <w:ind w:firstLine="567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  <w14:textFill>
            <w14:solidFill>
              <w14:schemeClr w14:val="tx1"/>
            </w14:solidFill>
          </w14:textFill>
        </w:rPr>
        <w:t>Внесенные изменения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: изменения не вносились.</w:t>
      </w:r>
    </w:p>
    <w:p w14:paraId="09E0B022">
      <w:pPr>
        <w:spacing w:before="195" w:after="0" w:line="240" w:lineRule="atLeast"/>
        <w:ind w:firstLine="567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  <w14:textFill>
            <w14:solidFill>
              <w14:schemeClr w14:val="tx1"/>
            </w14:solidFill>
          </w14:textFill>
        </w:rPr>
        <w:t>Исполнитель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: администрация (исполнительно-распорядительный орган) сельского поселения сумон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Бора-Тайга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</w:t>
      </w:r>
    </w:p>
    <w:p w14:paraId="4C2D8C37">
      <w:pPr>
        <w:shd w:val="clear" w:color="auto" w:fill="FFFFFF"/>
        <w:spacing w:before="195" w:after="0" w:line="240" w:lineRule="atLeast"/>
        <w:ind w:firstLine="567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  <w14:textFill>
            <w14:solidFill>
              <w14:schemeClr w14:val="tx1"/>
            </w14:solidFill>
          </w14:textFill>
        </w:rPr>
        <w:t>Цель программы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Повышение уровня внешнего благоустройства,  общественных территорий на территории сельского поселения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.</w:t>
      </w:r>
    </w:p>
    <w:p w14:paraId="19D4C99A">
      <w:pPr>
        <w:pStyle w:val="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Задачи программы: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Увеличение доли благоустроенных общественных пространств на территории сельского поселения, а также </w:t>
      </w:r>
      <w:r>
        <w:rPr>
          <w:rFonts w:ascii="Times New Roman" w:hAnsi="Times New Roman" w:cs="Times New Roman"/>
          <w:sz w:val="24"/>
          <w:szCs w:val="24"/>
        </w:rPr>
        <w:t>повышение уровня благоустройства территорий общего пользования сельского поселения «Поселок Бетлица».</w:t>
      </w:r>
    </w:p>
    <w:p w14:paraId="2D4A7815">
      <w:pPr>
        <w:spacing w:before="195" w:after="0" w:line="240" w:lineRule="atLeast"/>
        <w:ind w:firstLine="567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  <w14:textFill>
            <w14:solidFill>
              <w14:schemeClr w14:val="tx1"/>
            </w14:solidFill>
          </w14:textFill>
        </w:rPr>
        <w:t>Финансирование программы: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 На реализацию программы в бюджете  сельского поселения на 2023 год было предусмотрено 2249,8 тыс. рублей, из них федеральные и областные средства в сумме 2182,0тыс.руб.</w:t>
      </w:r>
    </w:p>
    <w:p w14:paraId="24209A09">
      <w:pPr>
        <w:spacing w:before="195" w:after="0" w:line="240" w:lineRule="atLeast"/>
        <w:ind w:firstLine="567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  <w14:textFill>
            <w14:solidFill>
              <w14:schemeClr w14:val="tx1"/>
            </w14:solidFill>
          </w14:textFill>
        </w:rPr>
        <w:t>Выполнение целевых показателей:</w:t>
      </w:r>
    </w:p>
    <w:tbl>
      <w:tblPr>
        <w:tblStyle w:val="3"/>
        <w:tblW w:w="9165" w:type="dxa"/>
        <w:jc w:val="center"/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930"/>
        <w:gridCol w:w="3148"/>
        <w:gridCol w:w="1657"/>
        <w:gridCol w:w="825"/>
        <w:gridCol w:w="830"/>
        <w:gridCol w:w="1775"/>
      </w:tblGrid>
      <w:tr w14:paraId="706DCE16">
        <w:tblPrEx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93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44255AF0">
            <w:pPr>
              <w:spacing w:before="195" w:after="195" w:line="341" w:lineRule="atLeast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ru-RU"/>
                <w14:textFill>
                  <w14:solidFill>
                    <w14:schemeClr w14:val="tx1"/>
                  </w14:solidFill>
                </w14:textFill>
              </w:rPr>
              <w:t>№ 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  <w14:textFill>
                  <w14:solidFill>
                    <w14:schemeClr w14:val="tx1"/>
                  </w14:solidFill>
                </w14:textFill>
              </w:rPr>
              <w:t>п/п</w:t>
            </w:r>
          </w:p>
        </w:tc>
        <w:tc>
          <w:tcPr>
            <w:tcW w:w="314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4566B872">
            <w:pPr>
              <w:spacing w:before="195" w:after="0" w:line="341" w:lineRule="atLeast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  <w14:textFill>
                  <w14:solidFill>
                    <w14:schemeClr w14:val="tx1"/>
                  </w14:solidFill>
                </w14:textFill>
              </w:rPr>
              <w:t>Наименование</w:t>
            </w:r>
          </w:p>
          <w:p w14:paraId="02170641">
            <w:pPr>
              <w:spacing w:before="195" w:after="195" w:line="341" w:lineRule="atLeast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  <w14:textFill>
                  <w14:solidFill>
                    <w14:schemeClr w14:val="tx1"/>
                  </w14:solidFill>
                </w14:textFill>
              </w:rPr>
              <w:t>целевого показателя</w:t>
            </w:r>
          </w:p>
        </w:tc>
        <w:tc>
          <w:tcPr>
            <w:tcW w:w="165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1F00C384">
            <w:pPr>
              <w:spacing w:before="195" w:after="0" w:line="341" w:lineRule="atLeast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  <w14:textFill>
                  <w14:solidFill>
                    <w14:schemeClr w14:val="tx1"/>
                  </w14:solidFill>
                </w14:textFill>
              </w:rPr>
              <w:t>Единица</w:t>
            </w:r>
          </w:p>
          <w:p w14:paraId="3D635126">
            <w:pPr>
              <w:spacing w:before="195" w:after="195" w:line="341" w:lineRule="atLeast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  <w14:textFill>
                  <w14:solidFill>
                    <w14:schemeClr w14:val="tx1"/>
                  </w14:solidFill>
                </w14:textFill>
              </w:rPr>
              <w:t>измерения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199FF6E3">
            <w:pPr>
              <w:spacing w:before="195" w:after="195" w:line="341" w:lineRule="atLeast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  <w14:textFill>
                  <w14:solidFill>
                    <w14:schemeClr w14:val="tx1"/>
                  </w14:solidFill>
                </w14:textFill>
              </w:rPr>
              <w:t>План</w:t>
            </w:r>
          </w:p>
          <w:p w14:paraId="3BDE85D9">
            <w:pPr>
              <w:spacing w:before="195" w:after="195" w:line="341" w:lineRule="atLeast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  <w14:textFill>
                  <w14:solidFill>
                    <w14:schemeClr w14:val="tx1"/>
                  </w14:solidFill>
                </w14:textFill>
              </w:rPr>
              <w:t>г</w:t>
            </w:r>
          </w:p>
        </w:tc>
        <w:tc>
          <w:tcPr>
            <w:tcW w:w="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26369E73">
            <w:pPr>
              <w:spacing w:before="195" w:after="195" w:line="341" w:lineRule="atLeast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  <w14:textFill>
                  <w14:solidFill>
                    <w14:schemeClr w14:val="tx1"/>
                  </w14:solidFill>
                </w14:textFill>
              </w:rPr>
              <w:t>Факт</w:t>
            </w:r>
          </w:p>
          <w:p w14:paraId="28110664">
            <w:pPr>
              <w:spacing w:before="195" w:after="195" w:line="341" w:lineRule="atLeast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  <w14:textFill>
                  <w14:solidFill>
                    <w14:schemeClr w14:val="tx1"/>
                  </w14:solidFill>
                </w14:textFill>
              </w:rPr>
              <w:t>г</w:t>
            </w:r>
          </w:p>
        </w:tc>
        <w:tc>
          <w:tcPr>
            <w:tcW w:w="177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5A271204">
            <w:pPr>
              <w:spacing w:before="195" w:after="195" w:line="341" w:lineRule="atLeast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отклонение</w:t>
            </w:r>
          </w:p>
        </w:tc>
      </w:tr>
      <w:tr w14:paraId="03BADBA3">
        <w:tblPrEx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192D962">
            <w:pPr>
              <w:spacing w:after="0" w:line="341" w:lineRule="atLeast"/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A79FD22">
            <w:pPr>
              <w:spacing w:after="0" w:line="341" w:lineRule="atLeast"/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E7DDDA0">
            <w:pPr>
              <w:spacing w:after="0" w:line="341" w:lineRule="atLeast"/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3FFAAB0B">
            <w:pPr>
              <w:spacing w:before="195" w:after="195" w:line="341" w:lineRule="atLeast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20CA04">
            <w:pPr>
              <w:spacing w:after="0" w:line="341" w:lineRule="atLeast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31E79A">
        <w:tblPrEx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195" w:hRule="atLeast"/>
          <w:jc w:val="center"/>
        </w:trPr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7899A78E">
            <w:pPr>
              <w:spacing w:before="195" w:after="195" w:line="341" w:lineRule="atLeast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ru-RU"/>
                <w14:textFill>
                  <w14:solidFill>
                    <w14:schemeClr w14:val="tx1"/>
                  </w14:solidFill>
                </w14:textFill>
              </w:rPr>
              <w:t>1.</w:t>
            </w:r>
          </w:p>
        </w:tc>
        <w:tc>
          <w:tcPr>
            <w:tcW w:w="3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1D6247FC">
            <w:pPr>
              <w:spacing w:before="195" w:after="195" w:line="341" w:lineRule="atLeast"/>
              <w:rPr>
                <w:rFonts w:hint="default" w:ascii="Times New Roman" w:hAnsi="Times New Roman" w:eastAsia="Times New Roman" w:cs="Times New Roman"/>
                <w:color w:val="000000" w:themeColor="text1"/>
                <w:sz w:val="18"/>
                <w:szCs w:val="18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ru-RU"/>
                <w14:textFill>
                  <w14:solidFill>
                    <w14:schemeClr w14:val="tx1"/>
                  </w14:solidFill>
                </w14:textFill>
              </w:rPr>
              <w:t>На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18"/>
                <w:szCs w:val="18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 xml:space="preserve"> изготовление баннера для профилактики алкоголизма</w:t>
            </w:r>
          </w:p>
        </w:tc>
        <w:tc>
          <w:tcPr>
            <w:tcW w:w="16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0BDFA9BB">
            <w:pPr>
              <w:spacing w:before="195" w:after="195" w:line="341" w:lineRule="atLeast"/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ru-RU"/>
                <w14:textFill>
                  <w14:solidFill>
                    <w14:schemeClr w14:val="tx1"/>
                  </w14:solidFill>
                </w14:textFill>
              </w:rPr>
              <w:t>тыс.рублей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63A621B9">
            <w:pPr>
              <w:spacing w:before="195" w:after="195" w:line="341" w:lineRule="atLeast"/>
              <w:rPr>
                <w:rFonts w:hint="default" w:ascii="Times New Roman" w:hAnsi="Times New Roman" w:eastAsia="Times New Roman" w:cs="Times New Roman"/>
                <w:color w:val="000000" w:themeColor="text1"/>
                <w:sz w:val="18"/>
                <w:szCs w:val="18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18"/>
                <w:szCs w:val="18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1,0</w:t>
            </w:r>
          </w:p>
        </w:tc>
        <w:tc>
          <w:tcPr>
            <w:tcW w:w="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53B87039">
            <w:pPr>
              <w:spacing w:before="195" w:after="195" w:line="341" w:lineRule="atLeast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18"/>
                <w:szCs w:val="18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18"/>
                <w:szCs w:val="18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1,0</w:t>
            </w:r>
          </w:p>
        </w:tc>
        <w:tc>
          <w:tcPr>
            <w:tcW w:w="1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7633D9EF">
            <w:pPr>
              <w:spacing w:before="195" w:after="195" w:line="341" w:lineRule="atLeast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</w:tbl>
    <w:p w14:paraId="3B3DD593">
      <w:pPr>
        <w:spacing w:before="195" w:after="0" w:line="240" w:lineRule="atLeast"/>
        <w:ind w:firstLine="567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1. Оценка степени достижения цели. решения задачи муниципальной программы (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CeI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):</w:t>
      </w:r>
    </w:p>
    <w:p w14:paraId="52F35277">
      <w:pPr>
        <w:spacing w:before="195" w:after="0" w:line="240" w:lineRule="atLeast"/>
        <w:ind w:firstLine="567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1. C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EI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= 1\1 =1</w:t>
      </w:r>
    </w:p>
    <w:p w14:paraId="65923129">
      <w:pPr>
        <w:spacing w:before="195" w:after="0" w:line="240" w:lineRule="atLeast"/>
        <w:ind w:firstLine="567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2. Степень соответствия запланированному уровню затрат и эффективности использования средств областного и местного бюджета муниципальной программы (Fin):</w:t>
      </w:r>
    </w:p>
    <w:p w14:paraId="4B09573E">
      <w:pPr>
        <w:spacing w:before="195" w:after="0" w:line="240" w:lineRule="atLeast"/>
        <w:ind w:firstLine="567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Fin = 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1,0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/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1,0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х100%=100%</w:t>
      </w:r>
    </w:p>
    <w:p w14:paraId="7315943D">
      <w:pPr>
        <w:spacing w:before="195" w:after="0" w:line="240" w:lineRule="atLeast"/>
        <w:ind w:firstLine="567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3.Оценка степени реализации контрольных мероприятий программы (Ме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):</w:t>
      </w:r>
    </w:p>
    <w:p w14:paraId="5E0930E4">
      <w:pPr>
        <w:spacing w:before="195" w:after="0" w:line="240" w:lineRule="atLeast"/>
        <w:ind w:firstLine="567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Ме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= 1\1х100%=100%</w:t>
      </w:r>
    </w:p>
    <w:p w14:paraId="1063252C">
      <w:pPr>
        <w:spacing w:before="195" w:after="0" w:line="240" w:lineRule="atLeast"/>
        <w:ind w:firstLine="567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4.Комплексная оценка эффективности реализации программы(О):</w:t>
      </w:r>
    </w:p>
    <w:p w14:paraId="200C1E7B">
      <w:pPr>
        <w:spacing w:before="195" w:after="0" w:line="240" w:lineRule="atLeast"/>
        <w:ind w:firstLine="567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Оэрп =1 х100% х100%=100%</w:t>
      </w:r>
    </w:p>
    <w:p w14:paraId="12644750">
      <w:pPr>
        <w:spacing w:before="195" w:after="0" w:line="240" w:lineRule="atLeast"/>
        <w:ind w:firstLine="567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Эффективность реализации муниципальной программы – высокая.</w:t>
      </w:r>
    </w:p>
    <w:p w14:paraId="538E5AB7">
      <w:pPr>
        <w:spacing w:before="195" w:after="0" w:line="240" w:lineRule="atLeast"/>
        <w:ind w:firstLine="567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0B1E9D29">
      <w:pPr>
        <w:spacing w:before="195" w:after="0" w:line="240" w:lineRule="atLeast"/>
        <w:ind w:firstLine="567"/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0A265ED5">
      <w:pPr>
        <w:spacing w:before="195" w:after="0" w:line="240" w:lineRule="atLeast"/>
        <w:ind w:firstLine="567"/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3272B179">
      <w:pPr>
        <w:spacing w:before="195" w:after="0" w:line="240" w:lineRule="atLeast"/>
        <w:ind w:firstLine="567"/>
        <w:rPr>
          <w:rFonts w:ascii="Verdana" w:hAnsi="Verdana" w:eastAsia="Times New Roman" w:cs="Arial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339D607A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52A"/>
    <w:rsid w:val="00012D14"/>
    <w:rsid w:val="000200B6"/>
    <w:rsid w:val="000402C1"/>
    <w:rsid w:val="00041121"/>
    <w:rsid w:val="00060620"/>
    <w:rsid w:val="00081FAF"/>
    <w:rsid w:val="00084A73"/>
    <w:rsid w:val="000B773B"/>
    <w:rsid w:val="000F3112"/>
    <w:rsid w:val="00113BEF"/>
    <w:rsid w:val="00124699"/>
    <w:rsid w:val="0017002B"/>
    <w:rsid w:val="001A093F"/>
    <w:rsid w:val="001A459A"/>
    <w:rsid w:val="001D0805"/>
    <w:rsid w:val="001D1868"/>
    <w:rsid w:val="001D530C"/>
    <w:rsid w:val="001F06DC"/>
    <w:rsid w:val="00212BF2"/>
    <w:rsid w:val="00222F68"/>
    <w:rsid w:val="00224670"/>
    <w:rsid w:val="00266125"/>
    <w:rsid w:val="002705E8"/>
    <w:rsid w:val="002A1D80"/>
    <w:rsid w:val="002F109B"/>
    <w:rsid w:val="00316AC5"/>
    <w:rsid w:val="003303CB"/>
    <w:rsid w:val="003509C6"/>
    <w:rsid w:val="00371396"/>
    <w:rsid w:val="00373646"/>
    <w:rsid w:val="003A3A38"/>
    <w:rsid w:val="003C24E8"/>
    <w:rsid w:val="003E6B0A"/>
    <w:rsid w:val="003E7A90"/>
    <w:rsid w:val="003F4793"/>
    <w:rsid w:val="00400BFC"/>
    <w:rsid w:val="00404D27"/>
    <w:rsid w:val="004152F1"/>
    <w:rsid w:val="00437486"/>
    <w:rsid w:val="00447C6B"/>
    <w:rsid w:val="004610C6"/>
    <w:rsid w:val="00463C25"/>
    <w:rsid w:val="004976E6"/>
    <w:rsid w:val="004C062C"/>
    <w:rsid w:val="004C6F81"/>
    <w:rsid w:val="004E496D"/>
    <w:rsid w:val="004E5F72"/>
    <w:rsid w:val="004F09FA"/>
    <w:rsid w:val="004F0B50"/>
    <w:rsid w:val="00500BC5"/>
    <w:rsid w:val="0050233E"/>
    <w:rsid w:val="005130B7"/>
    <w:rsid w:val="00565326"/>
    <w:rsid w:val="00571176"/>
    <w:rsid w:val="00572A1C"/>
    <w:rsid w:val="005875AE"/>
    <w:rsid w:val="005D4446"/>
    <w:rsid w:val="005E15B0"/>
    <w:rsid w:val="00606255"/>
    <w:rsid w:val="006229DA"/>
    <w:rsid w:val="006263C3"/>
    <w:rsid w:val="00634702"/>
    <w:rsid w:val="00652FBA"/>
    <w:rsid w:val="00666504"/>
    <w:rsid w:val="0067400D"/>
    <w:rsid w:val="006A6B23"/>
    <w:rsid w:val="006B2BA4"/>
    <w:rsid w:val="006C7D37"/>
    <w:rsid w:val="006D4EB6"/>
    <w:rsid w:val="006F4169"/>
    <w:rsid w:val="00701B60"/>
    <w:rsid w:val="00725622"/>
    <w:rsid w:val="00731804"/>
    <w:rsid w:val="00735A72"/>
    <w:rsid w:val="0075052A"/>
    <w:rsid w:val="00750FDA"/>
    <w:rsid w:val="007A7239"/>
    <w:rsid w:val="007C16C9"/>
    <w:rsid w:val="007C7FB9"/>
    <w:rsid w:val="007D0576"/>
    <w:rsid w:val="00801450"/>
    <w:rsid w:val="00840A4D"/>
    <w:rsid w:val="00841024"/>
    <w:rsid w:val="008422E5"/>
    <w:rsid w:val="00852579"/>
    <w:rsid w:val="00885DA0"/>
    <w:rsid w:val="008B6BBA"/>
    <w:rsid w:val="008E31CD"/>
    <w:rsid w:val="008F46AB"/>
    <w:rsid w:val="00901351"/>
    <w:rsid w:val="00901D5D"/>
    <w:rsid w:val="009228D8"/>
    <w:rsid w:val="009255E1"/>
    <w:rsid w:val="009730D4"/>
    <w:rsid w:val="009860EA"/>
    <w:rsid w:val="00995C74"/>
    <w:rsid w:val="009B2135"/>
    <w:rsid w:val="009D1A79"/>
    <w:rsid w:val="009D60F8"/>
    <w:rsid w:val="00A41A7D"/>
    <w:rsid w:val="00A6117B"/>
    <w:rsid w:val="00A6473E"/>
    <w:rsid w:val="00A960F2"/>
    <w:rsid w:val="00AA1A3A"/>
    <w:rsid w:val="00AA2681"/>
    <w:rsid w:val="00AE7C56"/>
    <w:rsid w:val="00AF417C"/>
    <w:rsid w:val="00AF4A7D"/>
    <w:rsid w:val="00B053E8"/>
    <w:rsid w:val="00B116B8"/>
    <w:rsid w:val="00B173F2"/>
    <w:rsid w:val="00B30971"/>
    <w:rsid w:val="00B41999"/>
    <w:rsid w:val="00B52F19"/>
    <w:rsid w:val="00B860EF"/>
    <w:rsid w:val="00B92AE0"/>
    <w:rsid w:val="00B9445C"/>
    <w:rsid w:val="00BC0F76"/>
    <w:rsid w:val="00BC3F42"/>
    <w:rsid w:val="00BD0113"/>
    <w:rsid w:val="00C132EE"/>
    <w:rsid w:val="00C6274A"/>
    <w:rsid w:val="00C646F8"/>
    <w:rsid w:val="00C76FF6"/>
    <w:rsid w:val="00C771F7"/>
    <w:rsid w:val="00C97AE5"/>
    <w:rsid w:val="00CA289A"/>
    <w:rsid w:val="00CB0871"/>
    <w:rsid w:val="00CB619C"/>
    <w:rsid w:val="00CD4419"/>
    <w:rsid w:val="00CE5E80"/>
    <w:rsid w:val="00CF1AD1"/>
    <w:rsid w:val="00D14322"/>
    <w:rsid w:val="00D17C66"/>
    <w:rsid w:val="00D2231F"/>
    <w:rsid w:val="00D4345B"/>
    <w:rsid w:val="00DA60BC"/>
    <w:rsid w:val="00DB1B88"/>
    <w:rsid w:val="00DC23BB"/>
    <w:rsid w:val="00DD39F1"/>
    <w:rsid w:val="00DE5100"/>
    <w:rsid w:val="00DE5BAC"/>
    <w:rsid w:val="00DE7DB2"/>
    <w:rsid w:val="00E31F3F"/>
    <w:rsid w:val="00E43CCC"/>
    <w:rsid w:val="00E63120"/>
    <w:rsid w:val="00E812B6"/>
    <w:rsid w:val="00EA03A6"/>
    <w:rsid w:val="00ED6D6B"/>
    <w:rsid w:val="00EF57F9"/>
    <w:rsid w:val="00F00EF6"/>
    <w:rsid w:val="00F05E60"/>
    <w:rsid w:val="00F25557"/>
    <w:rsid w:val="00F77B28"/>
    <w:rsid w:val="00F80419"/>
    <w:rsid w:val="00FC1575"/>
    <w:rsid w:val="00FF1A38"/>
    <w:rsid w:val="143C5E20"/>
    <w:rsid w:val="2CF6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6">
    <w:name w:val="ConsPlusCell"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7">
    <w:name w:val="No Spacing"/>
    <w:qFormat/>
    <w:uiPriority w:val="1"/>
    <w:pPr>
      <w:spacing w:after="0" w:line="240" w:lineRule="auto"/>
    </w:pPr>
    <w:rPr>
      <w:rFonts w:ascii="Calibri" w:hAnsi="Calibri" w:eastAsia="Times New Roman" w:cs="Calibri"/>
      <w:sz w:val="22"/>
      <w:szCs w:val="22"/>
      <w:lang w:val="ru-RU" w:eastAsia="ru-RU" w:bidi="ar-SA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paragraph" w:customStyle="1" w:styleId="9">
    <w:name w:val="ConsPlusNormal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Calibri" w:cs="Arial"/>
      <w:sz w:val="20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711C4-2EA9-4217-AFF0-A342F3474A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2</Pages>
  <Words>2912</Words>
  <Characters>16604</Characters>
  <Lines>138</Lines>
  <Paragraphs>38</Paragraphs>
  <TotalTime>16</TotalTime>
  <ScaleCrop>false</ScaleCrop>
  <LinksUpToDate>false</LinksUpToDate>
  <CharactersWithSpaces>19478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2022-01-24T05:55:00Z</dcterms:created>
  <dc:creator>User</dc:creator>
  <cp:lastModifiedBy>1395358</cp:lastModifiedBy>
  <cp:lastPrinted>2024-01-16T09:35:00Z</cp:lastPrinted>
  <dcterms:modified xsi:type="dcterms:W3CDTF">2025-06-05T07:49:35Z</dcterms:modified>
  <cp:revision>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E2802418ED054716B6EFF13DCDD016F5_12</vt:lpwstr>
  </property>
</Properties>
</file>